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278E" w14:textId="4D63D278" w:rsidR="00D305F4" w:rsidRDefault="009A4BB0" w:rsidP="00D305F4">
      <w:pPr>
        <w:pStyle w:val="Header"/>
      </w:pPr>
      <w:r>
        <w:t>Research the following pieces of legislation: identify key aspects of each piece of legislation and how these promote health, safety and security in health and social care settings</w:t>
      </w:r>
      <w:r>
        <w:t>.</w:t>
      </w:r>
    </w:p>
    <w:p w14:paraId="058B5E63" w14:textId="06E0A2D4" w:rsidR="00D305F4" w:rsidRDefault="00D305F4"/>
    <w:tbl>
      <w:tblPr>
        <w:tblStyle w:val="TableGrid"/>
        <w:tblpPr w:leftFromText="180" w:rightFromText="180" w:horzAnchor="margin" w:tblpY="1072"/>
        <w:tblW w:w="0" w:type="auto"/>
        <w:tblLook w:val="04A0" w:firstRow="1" w:lastRow="0" w:firstColumn="1" w:lastColumn="0" w:noHBand="0" w:noVBand="1"/>
      </w:tblPr>
      <w:tblGrid>
        <w:gridCol w:w="6969"/>
        <w:gridCol w:w="6969"/>
      </w:tblGrid>
      <w:tr w:rsidR="00D305F4" w14:paraId="7CB34202" w14:textId="77777777" w:rsidTr="00D305F4">
        <w:trPr>
          <w:trHeight w:val="249"/>
        </w:trPr>
        <w:tc>
          <w:tcPr>
            <w:tcW w:w="6969" w:type="dxa"/>
          </w:tcPr>
          <w:p w14:paraId="676A4664" w14:textId="5EF705C1" w:rsidR="00D305F4" w:rsidRPr="00D305F4" w:rsidRDefault="00D305F4" w:rsidP="00D305F4">
            <w:pPr>
              <w:rPr>
                <w:b/>
                <w:bCs/>
              </w:rPr>
            </w:pPr>
            <w:r w:rsidRPr="00D305F4">
              <w:rPr>
                <w:b/>
                <w:bCs/>
              </w:rPr>
              <w:t xml:space="preserve">Legislation </w:t>
            </w:r>
          </w:p>
        </w:tc>
        <w:tc>
          <w:tcPr>
            <w:tcW w:w="6969" w:type="dxa"/>
          </w:tcPr>
          <w:p w14:paraId="731B6309" w14:textId="23F2B3B8" w:rsidR="00D305F4" w:rsidRPr="00D305F4" w:rsidRDefault="00D305F4" w:rsidP="00D305F4">
            <w:pPr>
              <w:rPr>
                <w:b/>
                <w:bCs/>
              </w:rPr>
            </w:pPr>
            <w:r w:rsidRPr="00D305F4">
              <w:rPr>
                <w:b/>
                <w:bCs/>
              </w:rPr>
              <w:t xml:space="preserve">Key features </w:t>
            </w:r>
          </w:p>
        </w:tc>
      </w:tr>
      <w:tr w:rsidR="00D305F4" w14:paraId="3C4E927B" w14:textId="77777777" w:rsidTr="00D305F4">
        <w:trPr>
          <w:trHeight w:val="1248"/>
        </w:trPr>
        <w:tc>
          <w:tcPr>
            <w:tcW w:w="6969" w:type="dxa"/>
          </w:tcPr>
          <w:p w14:paraId="03F83CBE" w14:textId="27092C8C" w:rsidR="00D305F4" w:rsidRDefault="00D305F4" w:rsidP="00D305F4">
            <w:r>
              <w:t>Health and Safety at Work Act 1974</w:t>
            </w:r>
          </w:p>
        </w:tc>
        <w:tc>
          <w:tcPr>
            <w:tcW w:w="6969" w:type="dxa"/>
          </w:tcPr>
          <w:p w14:paraId="33986A48" w14:textId="77777777" w:rsidR="00D305F4" w:rsidRDefault="00D305F4" w:rsidP="00D305F4"/>
          <w:p w14:paraId="10E8FBD7" w14:textId="77777777" w:rsidR="00D305F4" w:rsidRDefault="00D305F4" w:rsidP="00D305F4"/>
          <w:p w14:paraId="1FD26F55" w14:textId="77777777" w:rsidR="00D305F4" w:rsidRDefault="00D305F4" w:rsidP="00D305F4"/>
          <w:p w14:paraId="653EFBCB" w14:textId="31297DF8" w:rsidR="00D305F4" w:rsidRDefault="00D305F4" w:rsidP="00D305F4"/>
        </w:tc>
      </w:tr>
      <w:tr w:rsidR="00D305F4" w14:paraId="125DB370" w14:textId="77777777" w:rsidTr="00D305F4">
        <w:trPr>
          <w:trHeight w:val="1491"/>
        </w:trPr>
        <w:tc>
          <w:tcPr>
            <w:tcW w:w="6969" w:type="dxa"/>
          </w:tcPr>
          <w:p w14:paraId="2D565C91" w14:textId="71C8F914" w:rsidR="00D305F4" w:rsidRDefault="00D305F4" w:rsidP="00D305F4">
            <w:r>
              <w:t>Management of Health and Safety at Work Regulations 1999</w:t>
            </w:r>
          </w:p>
        </w:tc>
        <w:tc>
          <w:tcPr>
            <w:tcW w:w="6969" w:type="dxa"/>
          </w:tcPr>
          <w:p w14:paraId="77A6EE42" w14:textId="77777777" w:rsidR="00D305F4" w:rsidRDefault="00D305F4" w:rsidP="00D305F4"/>
          <w:p w14:paraId="5259E4A6" w14:textId="77777777" w:rsidR="00D305F4" w:rsidRDefault="00D305F4" w:rsidP="00D305F4"/>
          <w:p w14:paraId="5D771E11" w14:textId="77777777" w:rsidR="00D305F4" w:rsidRDefault="00D305F4" w:rsidP="00D305F4"/>
          <w:p w14:paraId="6EE06256" w14:textId="77777777" w:rsidR="00D305F4" w:rsidRDefault="00D305F4" w:rsidP="00D305F4"/>
          <w:p w14:paraId="6529DF05" w14:textId="3DC94ECA" w:rsidR="00D305F4" w:rsidRDefault="00D305F4" w:rsidP="00D305F4"/>
        </w:tc>
      </w:tr>
      <w:tr w:rsidR="00D305F4" w14:paraId="3D7BC886" w14:textId="77777777" w:rsidTr="00D305F4">
        <w:trPr>
          <w:trHeight w:val="119"/>
        </w:trPr>
        <w:tc>
          <w:tcPr>
            <w:tcW w:w="6969" w:type="dxa"/>
          </w:tcPr>
          <w:p w14:paraId="2FB98364" w14:textId="72D8B96B" w:rsidR="00D305F4" w:rsidRDefault="00D305F4" w:rsidP="00D305F4">
            <w:r>
              <w:t>Food Safety Act 1990</w:t>
            </w:r>
          </w:p>
        </w:tc>
        <w:tc>
          <w:tcPr>
            <w:tcW w:w="6969" w:type="dxa"/>
          </w:tcPr>
          <w:p w14:paraId="6696C406" w14:textId="77777777" w:rsidR="00D305F4" w:rsidRDefault="00D305F4" w:rsidP="00D305F4"/>
          <w:p w14:paraId="166E52A1" w14:textId="77777777" w:rsidR="00D305F4" w:rsidRDefault="00D305F4" w:rsidP="00D305F4"/>
          <w:p w14:paraId="2EA4E088" w14:textId="77777777" w:rsidR="00D305F4" w:rsidRDefault="00D305F4" w:rsidP="00D305F4"/>
          <w:p w14:paraId="7AF2538A" w14:textId="06467B8E" w:rsidR="00D305F4" w:rsidRDefault="00D305F4" w:rsidP="00D305F4"/>
        </w:tc>
      </w:tr>
      <w:tr w:rsidR="00D305F4" w14:paraId="722C039B" w14:textId="77777777" w:rsidTr="00D305F4">
        <w:trPr>
          <w:trHeight w:val="1242"/>
        </w:trPr>
        <w:tc>
          <w:tcPr>
            <w:tcW w:w="6969" w:type="dxa"/>
          </w:tcPr>
          <w:p w14:paraId="50C88C07" w14:textId="0B1EF693" w:rsidR="00D305F4" w:rsidRDefault="00D305F4" w:rsidP="00D305F4">
            <w:r>
              <w:t>Food Safety (General Food Hygiene) Regulations 1995</w:t>
            </w:r>
          </w:p>
        </w:tc>
        <w:tc>
          <w:tcPr>
            <w:tcW w:w="6969" w:type="dxa"/>
          </w:tcPr>
          <w:p w14:paraId="699564E7" w14:textId="56B41DE6" w:rsidR="00D305F4" w:rsidRDefault="00D305F4" w:rsidP="00D305F4">
            <w:r>
              <w:t xml:space="preserve">Food Safety (General Hygiene) Regulations 1995 means that raw meat and ready-to-eat products </w:t>
            </w:r>
            <w:proofErr w:type="gramStart"/>
            <w:r>
              <w:t>have to</w:t>
            </w:r>
            <w:proofErr w:type="gramEnd"/>
            <w:r>
              <w:t xml:space="preserve"> be prepared on separate chopping boards to prevent cross-contamination. Cross contamination can lead to food poisoning, which could be deadly for those who have underlying health conditions therefore having food safety in the workplace promotes good food hygiene and prevents illness.</w:t>
            </w:r>
          </w:p>
          <w:p w14:paraId="573CA01A" w14:textId="65173C12" w:rsidR="00D305F4" w:rsidRDefault="00D305F4" w:rsidP="00D305F4"/>
          <w:p w14:paraId="4768615F" w14:textId="77777777" w:rsidR="00D305F4" w:rsidRDefault="00D305F4" w:rsidP="00D305F4"/>
          <w:p w14:paraId="38B0D018" w14:textId="234CE011" w:rsidR="00D305F4" w:rsidRDefault="00D305F4" w:rsidP="00D305F4"/>
        </w:tc>
      </w:tr>
      <w:tr w:rsidR="00D305F4" w14:paraId="7112633B" w14:textId="77777777" w:rsidTr="00D305F4">
        <w:trPr>
          <w:trHeight w:val="1748"/>
        </w:trPr>
        <w:tc>
          <w:tcPr>
            <w:tcW w:w="6969" w:type="dxa"/>
          </w:tcPr>
          <w:p w14:paraId="1D9337D0" w14:textId="42A0FD9E" w:rsidR="00D305F4" w:rsidRDefault="00D305F4" w:rsidP="00D305F4">
            <w:r>
              <w:lastRenderedPageBreak/>
              <w:t>Manual Handling Operations Regulations 1992</w:t>
            </w:r>
          </w:p>
        </w:tc>
        <w:tc>
          <w:tcPr>
            <w:tcW w:w="6969" w:type="dxa"/>
          </w:tcPr>
          <w:p w14:paraId="0C8BAD58" w14:textId="77777777" w:rsidR="00D305F4" w:rsidRDefault="00D305F4" w:rsidP="00D305F4"/>
          <w:p w14:paraId="5533E340" w14:textId="519E6B22" w:rsidR="00D305F4" w:rsidRDefault="00D305F4" w:rsidP="00D305F4"/>
          <w:p w14:paraId="4580E92B" w14:textId="7D7DED16" w:rsidR="00D305F4" w:rsidRDefault="00D305F4" w:rsidP="00D305F4"/>
          <w:p w14:paraId="3E1C773D" w14:textId="77777777" w:rsidR="00D305F4" w:rsidRDefault="00D305F4" w:rsidP="00D305F4"/>
          <w:p w14:paraId="33D0EC9F" w14:textId="0C0BDCA6" w:rsidR="00D305F4" w:rsidRDefault="00D305F4" w:rsidP="00D305F4"/>
        </w:tc>
      </w:tr>
      <w:tr w:rsidR="00D305F4" w14:paraId="17A3DA3F" w14:textId="77777777" w:rsidTr="00D305F4">
        <w:trPr>
          <w:trHeight w:val="1242"/>
        </w:trPr>
        <w:tc>
          <w:tcPr>
            <w:tcW w:w="6969" w:type="dxa"/>
          </w:tcPr>
          <w:p w14:paraId="6975B59C" w14:textId="6B29F302" w:rsidR="00D305F4" w:rsidRDefault="00D305F4" w:rsidP="00D305F4">
            <w:r>
              <w:t>Reporting of Injuries, Diseases and Dangerous Regulations (R</w:t>
            </w:r>
            <w:r>
              <w:t xml:space="preserve"> </w:t>
            </w:r>
            <w:r>
              <w:t>IDDOR) 2013</w:t>
            </w:r>
          </w:p>
        </w:tc>
        <w:tc>
          <w:tcPr>
            <w:tcW w:w="6969" w:type="dxa"/>
          </w:tcPr>
          <w:p w14:paraId="766230E9" w14:textId="77777777" w:rsidR="00D305F4" w:rsidRDefault="00D305F4" w:rsidP="00D305F4"/>
          <w:p w14:paraId="5818712B" w14:textId="77777777" w:rsidR="00D305F4" w:rsidRDefault="00D305F4" w:rsidP="00D305F4"/>
          <w:p w14:paraId="54F18C41" w14:textId="5DA5A751" w:rsidR="00D305F4" w:rsidRDefault="00D305F4" w:rsidP="00D305F4"/>
          <w:p w14:paraId="3A1E2E74" w14:textId="77777777" w:rsidR="00D305F4" w:rsidRDefault="00D305F4" w:rsidP="00D305F4"/>
          <w:p w14:paraId="63C50028" w14:textId="3CBA5F94" w:rsidR="00D305F4" w:rsidRDefault="00D305F4" w:rsidP="00D305F4"/>
        </w:tc>
      </w:tr>
      <w:tr w:rsidR="00D305F4" w14:paraId="6A2B8286" w14:textId="77777777" w:rsidTr="00D305F4">
        <w:trPr>
          <w:trHeight w:val="1248"/>
        </w:trPr>
        <w:tc>
          <w:tcPr>
            <w:tcW w:w="6969" w:type="dxa"/>
          </w:tcPr>
          <w:p w14:paraId="03F862F4" w14:textId="074331D8" w:rsidR="00D305F4" w:rsidRDefault="00D305F4" w:rsidP="00D305F4">
            <w:r>
              <w:t>Data Protection Act 1998</w:t>
            </w:r>
          </w:p>
        </w:tc>
        <w:tc>
          <w:tcPr>
            <w:tcW w:w="6969" w:type="dxa"/>
          </w:tcPr>
          <w:p w14:paraId="2C6189D3" w14:textId="77777777" w:rsidR="00D305F4" w:rsidRDefault="00D305F4" w:rsidP="00D305F4"/>
          <w:p w14:paraId="2375379B" w14:textId="77777777" w:rsidR="00D305F4" w:rsidRDefault="00D305F4" w:rsidP="00D305F4"/>
          <w:p w14:paraId="08958DEE" w14:textId="77777777" w:rsidR="00D305F4" w:rsidRDefault="00D305F4" w:rsidP="00D305F4"/>
          <w:p w14:paraId="6F9B884C" w14:textId="77777777" w:rsidR="00D305F4" w:rsidRDefault="00D305F4" w:rsidP="00D305F4"/>
          <w:p w14:paraId="6AF8E9BA" w14:textId="37D48914" w:rsidR="00D305F4" w:rsidRDefault="00D305F4" w:rsidP="00D305F4"/>
        </w:tc>
      </w:tr>
      <w:tr w:rsidR="00D305F4" w14:paraId="2C60487D" w14:textId="77777777" w:rsidTr="00D305F4">
        <w:trPr>
          <w:trHeight w:val="1242"/>
        </w:trPr>
        <w:tc>
          <w:tcPr>
            <w:tcW w:w="6969" w:type="dxa"/>
          </w:tcPr>
          <w:p w14:paraId="2B488747" w14:textId="740F30D9" w:rsidR="00D305F4" w:rsidRDefault="00D305F4" w:rsidP="00D305F4">
            <w:r>
              <w:t>Control of Substances Hazardous to Health (COSHH) 2002</w:t>
            </w:r>
          </w:p>
        </w:tc>
        <w:tc>
          <w:tcPr>
            <w:tcW w:w="6969" w:type="dxa"/>
          </w:tcPr>
          <w:p w14:paraId="7DD840F6" w14:textId="77777777" w:rsidR="00D305F4" w:rsidRDefault="00D305F4" w:rsidP="00D305F4"/>
          <w:p w14:paraId="194ED968" w14:textId="77777777" w:rsidR="00D305F4" w:rsidRDefault="00D305F4" w:rsidP="00D305F4"/>
          <w:p w14:paraId="251C86F5" w14:textId="77777777" w:rsidR="00D305F4" w:rsidRDefault="00D305F4" w:rsidP="00D305F4"/>
          <w:p w14:paraId="6E584F6B" w14:textId="77777777" w:rsidR="00D305F4" w:rsidRDefault="00D305F4" w:rsidP="00D305F4"/>
          <w:p w14:paraId="187A717B" w14:textId="16C067BC" w:rsidR="00D305F4" w:rsidRDefault="00D305F4" w:rsidP="00D305F4"/>
        </w:tc>
      </w:tr>
      <w:tr w:rsidR="00D305F4" w14:paraId="22EC106A" w14:textId="77777777" w:rsidTr="00D305F4">
        <w:trPr>
          <w:trHeight w:val="998"/>
        </w:trPr>
        <w:tc>
          <w:tcPr>
            <w:tcW w:w="6969" w:type="dxa"/>
          </w:tcPr>
          <w:p w14:paraId="7E7313EF" w14:textId="0AB1A26E" w:rsidR="00D305F4" w:rsidRDefault="00D305F4" w:rsidP="00D305F4">
            <w:r>
              <w:t>Civil Contingences Act 2004</w:t>
            </w:r>
          </w:p>
        </w:tc>
        <w:tc>
          <w:tcPr>
            <w:tcW w:w="6969" w:type="dxa"/>
          </w:tcPr>
          <w:p w14:paraId="05FDC55E" w14:textId="77777777" w:rsidR="00D305F4" w:rsidRDefault="00D305F4" w:rsidP="00D305F4"/>
          <w:p w14:paraId="785DB2AC" w14:textId="77777777" w:rsidR="00D305F4" w:rsidRDefault="00D305F4" w:rsidP="00D305F4"/>
          <w:p w14:paraId="342BF23D" w14:textId="77777777" w:rsidR="00D305F4" w:rsidRDefault="00D305F4" w:rsidP="00D305F4"/>
          <w:p w14:paraId="1FD0A8E5" w14:textId="3D9C6719" w:rsidR="00D305F4" w:rsidRDefault="00D305F4" w:rsidP="00D305F4"/>
        </w:tc>
      </w:tr>
    </w:tbl>
    <w:p w14:paraId="15762A2E" w14:textId="14F8E4EE" w:rsidR="00F54FDA" w:rsidRDefault="00F54FDA"/>
    <w:sectPr w:rsidR="00F54FDA" w:rsidSect="00D305F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1FA3" w14:textId="77777777" w:rsidR="00D305F4" w:rsidRDefault="00D305F4" w:rsidP="00D305F4">
      <w:pPr>
        <w:spacing w:after="0" w:line="240" w:lineRule="auto"/>
      </w:pPr>
      <w:r>
        <w:separator/>
      </w:r>
    </w:p>
  </w:endnote>
  <w:endnote w:type="continuationSeparator" w:id="0">
    <w:p w14:paraId="14BB8368" w14:textId="77777777" w:rsidR="00D305F4" w:rsidRDefault="00D305F4" w:rsidP="00D3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645D" w14:textId="77777777" w:rsidR="00D305F4" w:rsidRDefault="00D305F4" w:rsidP="00D305F4">
      <w:pPr>
        <w:spacing w:after="0" w:line="240" w:lineRule="auto"/>
      </w:pPr>
      <w:r>
        <w:separator/>
      </w:r>
    </w:p>
  </w:footnote>
  <w:footnote w:type="continuationSeparator" w:id="0">
    <w:p w14:paraId="1A820C15" w14:textId="77777777" w:rsidR="00D305F4" w:rsidRDefault="00D305F4" w:rsidP="00D3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BE34" w14:textId="513D9274" w:rsidR="00D305F4" w:rsidRDefault="00D305F4">
    <w:pPr>
      <w:pStyle w:val="Header"/>
    </w:pPr>
    <w:r>
      <w:t xml:space="preserve">Unit 3 </w:t>
    </w:r>
    <w:r>
      <w:t>Health, safety and security in health and social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F4"/>
    <w:rsid w:val="002C7928"/>
    <w:rsid w:val="00535FC9"/>
    <w:rsid w:val="009A4BB0"/>
    <w:rsid w:val="00A23E1C"/>
    <w:rsid w:val="00D305F4"/>
    <w:rsid w:val="00F5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5866"/>
  <w15:chartTrackingRefBased/>
  <w15:docId w15:val="{F148D659-3AA2-4D31-A2F0-1B2316F2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5F4"/>
  </w:style>
  <w:style w:type="paragraph" w:styleId="Footer">
    <w:name w:val="footer"/>
    <w:basedOn w:val="Normal"/>
    <w:link w:val="FooterChar"/>
    <w:uiPriority w:val="99"/>
    <w:unhideWhenUsed/>
    <w:rsid w:val="00D30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5F4"/>
  </w:style>
  <w:style w:type="table" w:styleId="TableGrid">
    <w:name w:val="Table Grid"/>
    <w:basedOn w:val="TableNormal"/>
    <w:uiPriority w:val="39"/>
    <w:rsid w:val="00D3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D</dc:creator>
  <cp:keywords/>
  <dc:description/>
  <cp:lastModifiedBy>O'Brien D</cp:lastModifiedBy>
  <cp:revision>1</cp:revision>
  <dcterms:created xsi:type="dcterms:W3CDTF">2022-06-13T10:49:00Z</dcterms:created>
  <dcterms:modified xsi:type="dcterms:W3CDTF">2022-06-13T11:01:00Z</dcterms:modified>
</cp:coreProperties>
</file>